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Por una movilidad eficiente #DesbloqueaLaCiudad</w:t>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Recientemente la Secretaría de Movilidad (</w:t>
      </w:r>
      <w:r w:rsidDel="00000000" w:rsidR="00000000" w:rsidRPr="00000000">
        <w:rPr>
          <w:rtl w:val="0"/>
        </w:rPr>
        <w:t xml:space="preserve">SEMOVI) dió a conocer la regulación para bicicletas y monopatines sin anclaje, en la cual establece </w:t>
      </w:r>
      <w:r w:rsidDel="00000000" w:rsidR="00000000" w:rsidRPr="00000000">
        <w:rPr>
          <w:b w:val="1"/>
          <w:rtl w:val="0"/>
        </w:rPr>
        <w:t xml:space="preserve">3 elementos</w:t>
      </w:r>
      <w:r w:rsidDel="00000000" w:rsidR="00000000" w:rsidRPr="00000000">
        <w:rPr>
          <w:rtl w:val="0"/>
        </w:rPr>
        <w:t xml:space="preserve"> que hacen imposible que las empresas de movilidad sustentable cubran la demanda actual, e incluso pone en riesgo su permanencia en la ciudad y los empleos que se han generado:</w:t>
      </w:r>
    </w:p>
    <w:p w:rsidR="00000000" w:rsidDel="00000000" w:rsidP="00000000" w:rsidRDefault="00000000" w:rsidRPr="00000000" w14:paraId="00000005">
      <w:pPr>
        <w:jc w:val="both"/>
        <w:rPr>
          <w:highlight w:val="yellow"/>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pPr>
      <w:r w:rsidDel="00000000" w:rsidR="00000000" w:rsidRPr="00000000">
        <w:rPr>
          <w:rtl w:val="0"/>
        </w:rPr>
        <w:t xml:space="preserve">L</w:t>
      </w:r>
      <w:r w:rsidDel="00000000" w:rsidR="00000000" w:rsidRPr="00000000">
        <w:rPr>
          <w:rtl w:val="0"/>
        </w:rPr>
        <w:t xml:space="preserve">ímite de 4,800 bicis y 3,500 monopatines entre todas las empresas que ofrecen el servicio. Esto implica 1 bici o monopatín por cada 1,000 habitantes y que el usuario, al no encontrar esta alternativa, tome un automóvil, lo que provoca más contaminación y tráfico.</w:t>
      </w:r>
    </w:p>
    <w:p w:rsidR="00000000" w:rsidDel="00000000" w:rsidP="00000000" w:rsidRDefault="00000000" w:rsidRPr="00000000" w14:paraId="00000007">
      <w:pPr>
        <w:numPr>
          <w:ilvl w:val="0"/>
          <w:numId w:val="1"/>
        </w:numPr>
        <w:ind w:left="720" w:hanging="360"/>
        <w:jc w:val="both"/>
        <w:rPr/>
      </w:pPr>
      <w:r w:rsidDel="00000000" w:rsidR="00000000" w:rsidRPr="00000000">
        <w:rPr>
          <w:rtl w:val="0"/>
        </w:rPr>
        <w:t xml:space="preserve">Limitación de operación en un área dentro de sólo 3 de las 16 alcaldías de la CDMX, dejando al resto de la ciudad sin posibilidad de acceso a estas alternativas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8">
      <w:pPr>
        <w:numPr>
          <w:ilvl w:val="0"/>
          <w:numId w:val="1"/>
        </w:numPr>
        <w:ind w:left="720" w:hanging="360"/>
        <w:jc w:val="both"/>
        <w:rPr/>
      </w:pPr>
      <w:r w:rsidDel="00000000" w:rsidR="00000000" w:rsidRPr="00000000">
        <w:rPr>
          <w:rtl w:val="0"/>
        </w:rPr>
        <w:t xml:space="preserve">U</w:t>
      </w:r>
      <w:r w:rsidDel="00000000" w:rsidR="00000000" w:rsidRPr="00000000">
        <w:rPr>
          <w:rtl w:val="0"/>
        </w:rPr>
        <w:t xml:space="preserve">n impuesto mínimo de $1,005 por bicicleta y $1,350 por monopatín. Esta cantidad es absurda si la comparamos con los $450 pesos que paga un automóvil de tenencia en la CDMX.</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rtl w:val="0"/>
        </w:rPr>
        <w:t xml:space="preserve">Grin, Mobike y MOVO,</w:t>
      </w:r>
      <w:r w:rsidDel="00000000" w:rsidR="00000000" w:rsidRPr="00000000">
        <w:rPr>
          <w:rtl w:val="0"/>
        </w:rPr>
        <w:t xml:space="preserve"> proponen d</w:t>
      </w:r>
      <w:r w:rsidDel="00000000" w:rsidR="00000000" w:rsidRPr="00000000">
        <w:rPr>
          <w:rtl w:val="0"/>
        </w:rPr>
        <w:t xml:space="preserve">esbloquear la ciudad y ofrecer alternativas de movilidad sustentables a todas las personas que quieran usar el servicio. Para ello, lanzan una incitiava en </w:t>
      </w:r>
      <w:hyperlink r:id="rId6">
        <w:r w:rsidDel="00000000" w:rsidR="00000000" w:rsidRPr="00000000">
          <w:rPr>
            <w:u w:val="single"/>
            <w:rtl w:val="0"/>
          </w:rPr>
          <w:t xml:space="preserve">Change.org</w:t>
        </w:r>
      </w:hyperlink>
      <w:r w:rsidDel="00000000" w:rsidR="00000000" w:rsidRPr="00000000">
        <w:rPr>
          <w:rtl w:val="0"/>
        </w:rPr>
        <w:t xml:space="preserve"> para que los ciudadanos conozcan los beneficios y se puedan ampliar estos servicios en la CDMX para cumplir nuestra meta en común: </w:t>
      </w:r>
      <w:r w:rsidDel="00000000" w:rsidR="00000000" w:rsidRPr="00000000">
        <w:rPr>
          <w:b w:val="1"/>
          <w:rtl w:val="0"/>
        </w:rPr>
        <w:t xml:space="preserve">#DesbloqueaLaCiudad</w:t>
      </w:r>
      <w:r w:rsidDel="00000000" w:rsidR="00000000" w:rsidRPr="00000000">
        <w:rPr>
          <w:rtl w:val="0"/>
        </w:rPr>
        <w:t xml:space="preserve">.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Entre los beneficios destacan: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numPr>
          <w:ilvl w:val="0"/>
          <w:numId w:val="2"/>
        </w:numPr>
        <w:ind w:left="720" w:hanging="360"/>
        <w:jc w:val="both"/>
        <w:rPr/>
      </w:pPr>
      <w:r w:rsidDel="00000000" w:rsidR="00000000" w:rsidRPr="00000000">
        <w:rPr>
          <w:b w:val="1"/>
          <w:rtl w:val="0"/>
        </w:rPr>
        <w:t xml:space="preserve">Más vehículos sustentables:</w:t>
      </w:r>
      <w:r w:rsidDel="00000000" w:rsidR="00000000" w:rsidRPr="00000000">
        <w:rPr>
          <w:rtl w:val="0"/>
        </w:rPr>
        <w:t xml:space="preserve"> que se incremente el número de vehículos, según a) la demanda existente y b) la propuesta del Instituto de Políticas para el Transporte y el Desarrollo (ITDP) de tener entre 10 y 30 vehículos de micromovilidad por cada 1,000 habitantes. Esto se traduce en un mínimo de 44 mil vehículos de movilidad, entre bicicletas y monopatines.</w:t>
      </w:r>
    </w:p>
    <w:p w:rsidR="00000000" w:rsidDel="00000000" w:rsidP="00000000" w:rsidRDefault="00000000" w:rsidRPr="00000000" w14:paraId="0000000F">
      <w:pPr>
        <w:numPr>
          <w:ilvl w:val="0"/>
          <w:numId w:val="2"/>
        </w:numPr>
        <w:ind w:left="720" w:hanging="360"/>
        <w:jc w:val="both"/>
        <w:rPr/>
      </w:pPr>
      <w:r w:rsidDel="00000000" w:rsidR="00000000" w:rsidRPr="00000000">
        <w:rPr>
          <w:b w:val="1"/>
          <w:rtl w:val="0"/>
        </w:rPr>
        <w:t xml:space="preserve">Inclusión:</w:t>
      </w:r>
      <w:r w:rsidDel="00000000" w:rsidR="00000000" w:rsidRPr="00000000">
        <w:rPr>
          <w:rtl w:val="0"/>
        </w:rPr>
        <w:t xml:space="preserve"> Ampliar el polígono de operación y permitir la operación en alcaldías no centrales como Azcapotzalco, Coyoacán e Iztacalco.</w:t>
      </w:r>
    </w:p>
    <w:p w:rsidR="00000000" w:rsidDel="00000000" w:rsidP="00000000" w:rsidRDefault="00000000" w:rsidRPr="00000000" w14:paraId="00000010">
      <w:pPr>
        <w:numPr>
          <w:ilvl w:val="0"/>
          <w:numId w:val="2"/>
        </w:numPr>
        <w:ind w:left="720" w:hanging="360"/>
        <w:jc w:val="both"/>
        <w:rPr/>
      </w:pPr>
      <w:r w:rsidDel="00000000" w:rsidR="00000000" w:rsidRPr="00000000">
        <w:rPr>
          <w:b w:val="1"/>
          <w:rtl w:val="0"/>
        </w:rPr>
        <w:t xml:space="preserve">Contraprestación proporcional y transparencia:</w:t>
      </w:r>
      <w:r w:rsidDel="00000000" w:rsidR="00000000" w:rsidRPr="00000000">
        <w:rPr>
          <w:rtl w:val="0"/>
        </w:rPr>
        <w:t xml:space="preserve"> Que las bicicletas y monopatines paguen la misma tenencia o menos que un automóvil al año (alrededor del 3% valor factura). Además que los recursos se manejen de manera transparente mediante la creación de un comité integrado por vecinos y usuarios quienes aseguren que tales recursos serán utilizados para construir ciclovías y campañas permanentes de educación vial para proteger a peatones y usuarios.</w:t>
      </w:r>
    </w:p>
    <w:p w:rsidR="00000000" w:rsidDel="00000000" w:rsidP="00000000" w:rsidRDefault="00000000" w:rsidRPr="00000000" w14:paraId="00000011">
      <w:pPr>
        <w:numPr>
          <w:ilvl w:val="0"/>
          <w:numId w:val="2"/>
        </w:numPr>
        <w:ind w:left="720" w:hanging="360"/>
        <w:jc w:val="both"/>
        <w:rPr/>
      </w:pPr>
      <w:r w:rsidDel="00000000" w:rsidR="00000000" w:rsidRPr="00000000">
        <w:rPr>
          <w:b w:val="1"/>
          <w:rtl w:val="0"/>
        </w:rPr>
        <w:t xml:space="preserve">Socialización:</w:t>
      </w:r>
      <w:r w:rsidDel="00000000" w:rsidR="00000000" w:rsidRPr="00000000">
        <w:rPr>
          <w:rtl w:val="0"/>
        </w:rPr>
        <w:t xml:space="preserve"> Para usuarios y no usuarios, coadyuvar en la educación vial de los ciudadanos y asegurar transporte seguro y eficiente para todos. Aumentar los usuarios mujeres no es suficiente, se necesita hacer más, reducir los casos de acoso y violencia en el transporte público y particular.</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Las 3 empresas invitan a los ciudadanos a sumarse a esta iniciativa en </w:t>
      </w:r>
      <w:hyperlink r:id="rId7">
        <w:r w:rsidDel="00000000" w:rsidR="00000000" w:rsidRPr="00000000">
          <w:rPr>
            <w:u w:val="single"/>
            <w:rtl w:val="0"/>
          </w:rPr>
          <w:t xml:space="preserve">change.org</w:t>
        </w:r>
      </w:hyperlink>
      <w:r w:rsidDel="00000000" w:rsidR="00000000" w:rsidRPr="00000000">
        <w:rPr>
          <w:rtl w:val="0"/>
        </w:rPr>
        <w:t xml:space="preserve"> y compartirla con más personas, solo así se logrará un verdadero cambio en la movilidad.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b w:val="1"/>
          <w:sz w:val="20"/>
          <w:szCs w:val="20"/>
        </w:rPr>
      </w:pPr>
      <w:r w:rsidDel="00000000" w:rsidR="00000000" w:rsidRPr="00000000">
        <w:rPr>
          <w:b w:val="1"/>
          <w:rtl w:val="0"/>
        </w:rPr>
        <w:t xml:space="preserve">ACERCA DE MOVO:</w:t>
      </w: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MOVO es una startup española fundada en 2017 que ofrece una alternativa de movilidad sostenible. Se trata de un servicio de asset-sharing que funciona a través de una app y ofrece scooters y patinetes 100% eléctricos. En MOVO queremos que el azul siga siendo el color de nuestro cielo. </w:t>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Estos servicios se pueden usar todos los días del año en horarios limitados. Actualmente, está presente en las calles de España y, en diferentes países de Latinoamérica (Argentina, Colombia, Chile, México y Perú). </w:t>
      </w:r>
    </w:p>
    <w:p w:rsidR="00000000" w:rsidDel="00000000" w:rsidP="00000000" w:rsidRDefault="00000000" w:rsidRPr="00000000" w14:paraId="00000018">
      <w:pPr>
        <w:jc w:val="both"/>
        <w:rPr>
          <w:color w:val="363135"/>
        </w:rPr>
      </w:pPr>
      <w:r w:rsidDel="00000000" w:rsidR="00000000" w:rsidRPr="00000000">
        <w:rPr>
          <w:rtl w:val="0"/>
        </w:rPr>
      </w:r>
    </w:p>
    <w:p w:rsidR="00000000" w:rsidDel="00000000" w:rsidP="00000000" w:rsidRDefault="00000000" w:rsidRPr="00000000" w14:paraId="00000019">
      <w:pPr>
        <w:jc w:val="both"/>
        <w:rPr>
          <w:b w:val="1"/>
          <w:color w:val="363135"/>
        </w:rPr>
      </w:pPr>
      <w:r w:rsidDel="00000000" w:rsidR="00000000" w:rsidRPr="00000000">
        <w:rPr>
          <w:b w:val="1"/>
          <w:color w:val="363135"/>
          <w:rtl w:val="0"/>
        </w:rPr>
        <w:t xml:space="preserve">CONTACTO DE PRENSA: </w:t>
      </w:r>
    </w:p>
    <w:p w:rsidR="00000000" w:rsidDel="00000000" w:rsidP="00000000" w:rsidRDefault="00000000" w:rsidRPr="00000000" w14:paraId="0000001A">
      <w:pPr>
        <w:jc w:val="both"/>
        <w:rPr>
          <w:b w:val="1"/>
          <w:color w:val="363135"/>
        </w:rPr>
      </w:pPr>
      <w:r w:rsidDel="00000000" w:rsidR="00000000" w:rsidRPr="00000000">
        <w:rPr>
          <w:rtl w:val="0"/>
        </w:rPr>
      </w:r>
    </w:p>
    <w:p w:rsidR="00000000" w:rsidDel="00000000" w:rsidP="00000000" w:rsidRDefault="00000000" w:rsidRPr="00000000" w14:paraId="0000001B">
      <w:pPr>
        <w:jc w:val="both"/>
        <w:rPr>
          <w:b w:val="1"/>
          <w:color w:val="363135"/>
        </w:rPr>
      </w:pPr>
      <w:r w:rsidDel="00000000" w:rsidR="00000000" w:rsidRPr="00000000">
        <w:rPr>
          <w:b w:val="1"/>
          <w:color w:val="363135"/>
          <w:rtl w:val="0"/>
        </w:rPr>
        <w:t xml:space="preserve">Vianey Campos </w:t>
      </w:r>
    </w:p>
    <w:p w:rsidR="00000000" w:rsidDel="00000000" w:rsidP="00000000" w:rsidRDefault="00000000" w:rsidRPr="00000000" w14:paraId="0000001C">
      <w:pPr>
        <w:jc w:val="both"/>
        <w:rPr>
          <w:b w:val="1"/>
          <w:color w:val="828282"/>
          <w:sz w:val="20"/>
          <w:szCs w:val="20"/>
          <w:highlight w:val="white"/>
        </w:rPr>
      </w:pPr>
      <w:r w:rsidDel="00000000" w:rsidR="00000000" w:rsidRPr="00000000">
        <w:rPr>
          <w:b w:val="1"/>
          <w:color w:val="828282"/>
          <w:sz w:val="20"/>
          <w:szCs w:val="20"/>
          <w:highlight w:val="white"/>
          <w:rtl w:val="0"/>
        </w:rPr>
        <w:t xml:space="preserve">Global Head of PR MOVO</w:t>
      </w:r>
    </w:p>
    <w:p w:rsidR="00000000" w:rsidDel="00000000" w:rsidP="00000000" w:rsidRDefault="00000000" w:rsidRPr="00000000" w14:paraId="0000001D">
      <w:pPr>
        <w:jc w:val="both"/>
        <w:rPr>
          <w:b w:val="1"/>
          <w:color w:val="1155cc"/>
          <w:sz w:val="20"/>
          <w:szCs w:val="20"/>
          <w:highlight w:val="white"/>
        </w:rPr>
      </w:pPr>
      <w:r w:rsidDel="00000000" w:rsidR="00000000" w:rsidRPr="00000000">
        <w:rPr>
          <w:b w:val="1"/>
          <w:color w:val="1155cc"/>
          <w:sz w:val="20"/>
          <w:szCs w:val="20"/>
          <w:highlight w:val="white"/>
          <w:rtl w:val="0"/>
        </w:rPr>
        <w:t xml:space="preserve">vianey.campos@movo.me</w:t>
      </w:r>
    </w:p>
    <w:p w:rsidR="00000000" w:rsidDel="00000000" w:rsidP="00000000" w:rsidRDefault="00000000" w:rsidRPr="00000000" w14:paraId="0000001E">
      <w:pPr>
        <w:jc w:val="both"/>
        <w:rPr>
          <w:b w:val="1"/>
          <w:color w:val="828282"/>
          <w:sz w:val="20"/>
          <w:szCs w:val="20"/>
          <w:highlight w:val="white"/>
        </w:rPr>
      </w:pPr>
      <w:r w:rsidDel="00000000" w:rsidR="00000000" w:rsidRPr="00000000">
        <w:rPr>
          <w:b w:val="1"/>
          <w:color w:val="828282"/>
          <w:sz w:val="20"/>
          <w:szCs w:val="20"/>
          <w:highlight w:val="white"/>
          <w:rtl w:val="0"/>
        </w:rPr>
        <w:t xml:space="preserve">(+52) 55 63361577 </w:t>
      </w:r>
    </w:p>
    <w:p w:rsidR="00000000" w:rsidDel="00000000" w:rsidP="00000000" w:rsidRDefault="00000000" w:rsidRPr="00000000" w14:paraId="0000001F">
      <w:pPr>
        <w:jc w:val="both"/>
        <w:rPr>
          <w:b w:val="1"/>
          <w:color w:val="828282"/>
          <w:sz w:val="20"/>
          <w:szCs w:val="20"/>
          <w:highlight w:val="white"/>
        </w:rPr>
      </w:pPr>
      <w:r w:rsidDel="00000000" w:rsidR="00000000" w:rsidRPr="00000000">
        <w:rPr>
          <w:rtl w:val="0"/>
        </w:rPr>
      </w:r>
    </w:p>
    <w:p w:rsidR="00000000" w:rsidDel="00000000" w:rsidP="00000000" w:rsidRDefault="00000000" w:rsidRPr="00000000" w14:paraId="00000020">
      <w:pPr>
        <w:jc w:val="both"/>
        <w:rPr>
          <w:b w:val="1"/>
          <w:color w:val="363135"/>
        </w:rPr>
      </w:pPr>
      <w:r w:rsidDel="00000000" w:rsidR="00000000" w:rsidRPr="00000000">
        <w:rPr>
          <w:b w:val="1"/>
          <w:color w:val="363135"/>
          <w:rtl w:val="0"/>
        </w:rPr>
        <w:t xml:space="preserve">Daniela Mucel</w:t>
      </w:r>
    </w:p>
    <w:p w:rsidR="00000000" w:rsidDel="00000000" w:rsidP="00000000" w:rsidRDefault="00000000" w:rsidRPr="00000000" w14:paraId="00000021">
      <w:pPr>
        <w:jc w:val="both"/>
        <w:rPr>
          <w:b w:val="1"/>
          <w:color w:val="363135"/>
        </w:rPr>
      </w:pPr>
      <w:r w:rsidDel="00000000" w:rsidR="00000000" w:rsidRPr="00000000">
        <w:rPr>
          <w:b w:val="1"/>
          <w:color w:val="828282"/>
          <w:sz w:val="20"/>
          <w:szCs w:val="20"/>
          <w:highlight w:val="white"/>
          <w:rtl w:val="0"/>
        </w:rPr>
        <w:t xml:space="preserve">MOBIKE</w:t>
      </w:r>
      <w:r w:rsidDel="00000000" w:rsidR="00000000" w:rsidRPr="00000000">
        <w:rPr>
          <w:rtl w:val="0"/>
        </w:rPr>
      </w:r>
    </w:p>
    <w:p w:rsidR="00000000" w:rsidDel="00000000" w:rsidP="00000000" w:rsidRDefault="00000000" w:rsidRPr="00000000" w14:paraId="00000022">
      <w:pPr>
        <w:jc w:val="both"/>
        <w:rPr>
          <w:b w:val="1"/>
          <w:color w:val="363135"/>
          <w:sz w:val="20"/>
          <w:szCs w:val="20"/>
        </w:rPr>
      </w:pPr>
      <w:hyperlink r:id="rId8">
        <w:r w:rsidDel="00000000" w:rsidR="00000000" w:rsidRPr="00000000">
          <w:rPr>
            <w:b w:val="1"/>
            <w:color w:val="1155cc"/>
            <w:sz w:val="20"/>
            <w:szCs w:val="20"/>
            <w:u w:val="single"/>
            <w:rtl w:val="0"/>
          </w:rPr>
          <w:t xml:space="preserve">danielamucel@mobike.com</w:t>
        </w:r>
      </w:hyperlink>
      <w:r w:rsidDel="00000000" w:rsidR="00000000" w:rsidRPr="00000000">
        <w:rPr>
          <w:rtl w:val="0"/>
        </w:rPr>
      </w:r>
    </w:p>
    <w:p w:rsidR="00000000" w:rsidDel="00000000" w:rsidP="00000000" w:rsidRDefault="00000000" w:rsidRPr="00000000" w14:paraId="00000023">
      <w:pPr>
        <w:jc w:val="both"/>
        <w:rPr>
          <w:b w:val="1"/>
          <w:color w:val="363135"/>
        </w:rPr>
      </w:pPr>
      <w:r w:rsidDel="00000000" w:rsidR="00000000" w:rsidRPr="00000000">
        <w:rPr>
          <w:rtl w:val="0"/>
        </w:rPr>
      </w:r>
    </w:p>
    <w:p w:rsidR="00000000" w:rsidDel="00000000" w:rsidP="00000000" w:rsidRDefault="00000000" w:rsidRPr="00000000" w14:paraId="00000024">
      <w:pPr>
        <w:jc w:val="both"/>
        <w:rPr>
          <w:b w:val="1"/>
          <w:color w:val="828282"/>
          <w:sz w:val="20"/>
          <w:szCs w:val="20"/>
          <w:highlight w:val="white"/>
        </w:rPr>
      </w:pPr>
      <w:r w:rsidDel="00000000" w:rsidR="00000000" w:rsidRPr="00000000">
        <w:rPr>
          <w:b w:val="1"/>
          <w:color w:val="363135"/>
          <w:rtl w:val="0"/>
        </w:rPr>
        <w:t xml:space="preserve">Nora Elena Castro</w:t>
      </w:r>
      <w:r w:rsidDel="00000000" w:rsidR="00000000" w:rsidRPr="00000000">
        <w:rPr>
          <w:b w:val="1"/>
          <w:color w:val="828282"/>
          <w:sz w:val="20"/>
          <w:szCs w:val="20"/>
          <w:highlight w:val="white"/>
          <w:rtl w:val="0"/>
        </w:rPr>
        <w:t xml:space="preserve"> </w:t>
      </w:r>
    </w:p>
    <w:p w:rsidR="00000000" w:rsidDel="00000000" w:rsidP="00000000" w:rsidRDefault="00000000" w:rsidRPr="00000000" w14:paraId="00000025">
      <w:pPr>
        <w:jc w:val="both"/>
        <w:rPr>
          <w:b w:val="1"/>
          <w:color w:val="828282"/>
          <w:sz w:val="20"/>
          <w:szCs w:val="20"/>
          <w:highlight w:val="white"/>
        </w:rPr>
      </w:pPr>
      <w:r w:rsidDel="00000000" w:rsidR="00000000" w:rsidRPr="00000000">
        <w:rPr>
          <w:b w:val="1"/>
          <w:color w:val="828282"/>
          <w:sz w:val="20"/>
          <w:szCs w:val="20"/>
          <w:highlight w:val="white"/>
          <w:rtl w:val="0"/>
        </w:rPr>
        <w:t xml:space="preserve">GRIN</w:t>
      </w:r>
    </w:p>
    <w:p w:rsidR="00000000" w:rsidDel="00000000" w:rsidP="00000000" w:rsidRDefault="00000000" w:rsidRPr="00000000" w14:paraId="00000026">
      <w:pPr>
        <w:jc w:val="both"/>
        <w:rPr>
          <w:b w:val="1"/>
          <w:color w:val="828282"/>
          <w:sz w:val="20"/>
          <w:szCs w:val="20"/>
          <w:highlight w:val="white"/>
        </w:rPr>
      </w:pPr>
      <w:hyperlink r:id="rId9">
        <w:r w:rsidDel="00000000" w:rsidR="00000000" w:rsidRPr="00000000">
          <w:rPr>
            <w:b w:val="1"/>
            <w:color w:val="1155cc"/>
            <w:sz w:val="20"/>
            <w:szCs w:val="20"/>
            <w:highlight w:val="white"/>
            <w:u w:val="single"/>
            <w:rtl w:val="0"/>
          </w:rPr>
          <w:t xml:space="preserve">ncv@stratcomms.mx</w:t>
        </w:r>
      </w:hyperlink>
      <w:r w:rsidDel="00000000" w:rsidR="00000000" w:rsidRPr="00000000">
        <w:rPr>
          <w:rtl w:val="0"/>
        </w:rPr>
      </w:r>
    </w:p>
    <w:p w:rsidR="00000000" w:rsidDel="00000000" w:rsidP="00000000" w:rsidRDefault="00000000" w:rsidRPr="00000000" w14:paraId="00000027">
      <w:pPr>
        <w:jc w:val="both"/>
        <w:rPr>
          <w:b w:val="1"/>
          <w:color w:val="828282"/>
          <w:sz w:val="20"/>
          <w:szCs w:val="20"/>
          <w:highlight w:val="white"/>
        </w:rPr>
      </w:pPr>
      <w:r w:rsidDel="00000000" w:rsidR="00000000" w:rsidRPr="00000000">
        <w:rPr>
          <w:rtl w:val="0"/>
        </w:rPr>
      </w:r>
    </w:p>
    <w:p w:rsidR="00000000" w:rsidDel="00000000" w:rsidP="00000000" w:rsidRDefault="00000000" w:rsidRPr="00000000" w14:paraId="00000028">
      <w:pPr>
        <w:jc w:val="both"/>
        <w:rPr>
          <w:b w:val="1"/>
          <w:color w:val="828282"/>
          <w:sz w:val="20"/>
          <w:szCs w:val="20"/>
          <w:highlight w:val="white"/>
        </w:rPr>
      </w:pPr>
      <w:r w:rsidDel="00000000" w:rsidR="00000000" w:rsidRPr="00000000">
        <w:rPr>
          <w:rtl w:val="0"/>
        </w:rPr>
      </w:r>
    </w:p>
    <w:p w:rsidR="00000000" w:rsidDel="00000000" w:rsidP="00000000" w:rsidRDefault="00000000" w:rsidRPr="00000000" w14:paraId="00000029">
      <w:pPr>
        <w:jc w:val="both"/>
        <w:rPr>
          <w:b w:val="1"/>
          <w:color w:val="828282"/>
          <w:sz w:val="20"/>
          <w:szCs w:val="20"/>
          <w:highlight w:val="white"/>
        </w:rPr>
      </w:pPr>
      <w:r w:rsidDel="00000000" w:rsidR="00000000" w:rsidRPr="00000000">
        <w:rPr>
          <w:rtl w:val="0"/>
        </w:rPr>
      </w:r>
    </w:p>
    <w:p w:rsidR="00000000" w:rsidDel="00000000" w:rsidP="00000000" w:rsidRDefault="00000000" w:rsidRPr="00000000" w14:paraId="0000002A">
      <w:pPr>
        <w:rPr>
          <w:b w:val="1"/>
          <w:color w:val="363135"/>
        </w:rPr>
      </w:pPr>
      <w:r w:rsidDel="00000000" w:rsidR="00000000" w:rsidRPr="00000000">
        <w:rPr>
          <w:rtl w:val="0"/>
        </w:rPr>
      </w:r>
    </w:p>
    <w:sectPr>
      <w:headerReference r:id="rId10"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2424113</wp:posOffset>
          </wp:positionH>
          <wp:positionV relativeFrom="paragraph">
            <wp:posOffset>-61912</wp:posOffset>
          </wp:positionV>
          <wp:extent cx="1123026" cy="871538"/>
          <wp:effectExtent b="0" l="0" r="0" t="0"/>
          <wp:wrapTopAndBottom distB="114300" distT="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23026" cy="8715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-600074</wp:posOffset>
          </wp:positionH>
          <wp:positionV relativeFrom="paragraph">
            <wp:posOffset>76201</wp:posOffset>
          </wp:positionV>
          <wp:extent cx="2158008" cy="595313"/>
          <wp:effectExtent b="0" l="0" r="0" t="0"/>
          <wp:wrapTopAndBottom distB="114300" distT="114300"/>
          <wp:docPr id="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2158008" cy="5953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4905375</wp:posOffset>
          </wp:positionH>
          <wp:positionV relativeFrom="paragraph">
            <wp:posOffset>76201</wp:posOffset>
          </wp:positionV>
          <wp:extent cx="1319609" cy="500063"/>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319609" cy="5000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ncv@stratcomms.mx" TargetMode="External"/><Relationship Id="rId5" Type="http://schemas.openxmlformats.org/officeDocument/2006/relationships/styles" Target="styles.xml"/><Relationship Id="rId6" Type="http://schemas.openxmlformats.org/officeDocument/2006/relationships/hyperlink" Target="https://www.change.org/p/claudia-sheinbaum-impuesto-de-semovi-pone-en-riesgo-la-permanencia-de-bicis-compartidas?recruiter=967873506&amp;utm_source=share_petition&amp;utm_medium=copylink&amp;utm_campaign=share_petition" TargetMode="External"/><Relationship Id="rId7" Type="http://schemas.openxmlformats.org/officeDocument/2006/relationships/hyperlink" Target="https://www.change.org/p/claudia-sheinbaum-impuesto-de-semovi-pone-en-riesgo-la-permanencia-de-bicis-compartidas?recruiter=967873506&amp;utm_source=share_petition&amp;utm_medium=copylink&amp;utm_campaign=share_petition" TargetMode="External"/><Relationship Id="rId8" Type="http://schemas.openxmlformats.org/officeDocument/2006/relationships/hyperlink" Target="mailto:danielamucel@mobi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